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B5" w:rsidRPr="00C929EA" w:rsidRDefault="00FD7BB5" w:rsidP="00FD7BB5">
      <w:pPr>
        <w:jc w:val="center"/>
        <w:rPr>
          <w:rFonts w:ascii="Bernard MT Condensed" w:hAnsi="Bernard MT Condensed"/>
          <w:b/>
          <w:bCs/>
          <w:u w:val="single"/>
        </w:rPr>
      </w:pPr>
      <w:r w:rsidRPr="00C929EA">
        <w:rPr>
          <w:rFonts w:ascii="Bernard MT Condensed" w:hAnsi="Bernard MT Condensed"/>
          <w:b/>
          <w:bCs/>
          <w:u w:val="single"/>
        </w:rPr>
        <w:t>Drawing Conclusions About the Narrator</w:t>
      </w:r>
      <w:r w:rsidR="00010B9A" w:rsidRPr="00C929EA">
        <w:rPr>
          <w:rFonts w:ascii="Bernard MT Condensed" w:hAnsi="Bernard MT Condensed"/>
          <w:b/>
          <w:bCs/>
          <w:u w:val="single"/>
        </w:rPr>
        <w:t>’s Message</w:t>
      </w:r>
    </w:p>
    <w:p w:rsidR="00FD7BB5" w:rsidRPr="00C929EA" w:rsidRDefault="00FD7BB5" w:rsidP="00FD7BB5">
      <w:pPr>
        <w:jc w:val="center"/>
        <w:rPr>
          <w:rFonts w:ascii="Bernard MT Condensed" w:hAnsi="Bernard MT Condensed"/>
          <w:b/>
          <w:bCs/>
          <w:sz w:val="22"/>
          <w:szCs w:val="22"/>
        </w:rPr>
      </w:pPr>
      <w:r w:rsidRPr="00C929EA">
        <w:rPr>
          <w:rFonts w:ascii="Bernard MT Condensed" w:hAnsi="Bernard MT Condensed"/>
          <w:b/>
          <w:bCs/>
          <w:sz w:val="22"/>
          <w:szCs w:val="22"/>
        </w:rPr>
        <w:t xml:space="preserve">(Selections from the </w:t>
      </w:r>
      <w:r w:rsidRPr="008D4BC7">
        <w:rPr>
          <w:rFonts w:ascii="Bernard MT Condensed" w:hAnsi="Bernard MT Condensed"/>
          <w:b/>
          <w:bCs/>
          <w:i/>
          <w:sz w:val="22"/>
          <w:szCs w:val="22"/>
        </w:rPr>
        <w:t>Language of Literature</w:t>
      </w:r>
      <w:r w:rsidRPr="00C929EA">
        <w:rPr>
          <w:rFonts w:ascii="Bernard MT Condensed" w:hAnsi="Bernard MT Condensed"/>
          <w:b/>
          <w:bCs/>
          <w:sz w:val="22"/>
          <w:szCs w:val="22"/>
        </w:rPr>
        <w:t>)</w:t>
      </w:r>
    </w:p>
    <w:tbl>
      <w:tblPr>
        <w:tblStyle w:val="TableGrid"/>
        <w:tblW w:w="11520" w:type="dxa"/>
        <w:tblInd w:w="-1332" w:type="dxa"/>
        <w:tblLayout w:type="fixed"/>
        <w:tblLook w:val="01E0"/>
      </w:tblPr>
      <w:tblGrid>
        <w:gridCol w:w="1800"/>
        <w:gridCol w:w="3835"/>
        <w:gridCol w:w="2257"/>
        <w:gridCol w:w="3628"/>
      </w:tblGrid>
      <w:tr w:rsidR="00FD7BB5" w:rsidRPr="00C929EA">
        <w:tc>
          <w:tcPr>
            <w:tcW w:w="1800" w:type="dxa"/>
            <w:shd w:val="clear" w:color="auto" w:fill="E6E6E6"/>
          </w:tcPr>
          <w:p w:rsidR="00FD7BB5" w:rsidRPr="00C929EA" w:rsidRDefault="00FD7BB5" w:rsidP="00FD7BB5">
            <w:pPr>
              <w:jc w:val="center"/>
              <w:rPr>
                <w:rFonts w:ascii="Bernard MT Condensed" w:hAnsi="Bernard MT Condensed"/>
                <w:b/>
                <w:bCs/>
              </w:rPr>
            </w:pPr>
            <w:r w:rsidRPr="00C929EA">
              <w:rPr>
                <w:rFonts w:ascii="Bernard MT Condensed" w:hAnsi="Bernard MT Condensed"/>
                <w:b/>
                <w:bCs/>
              </w:rPr>
              <w:t>Point of View</w:t>
            </w:r>
          </w:p>
        </w:tc>
        <w:tc>
          <w:tcPr>
            <w:tcW w:w="3835" w:type="dxa"/>
            <w:shd w:val="clear" w:color="auto" w:fill="E6E6E6"/>
          </w:tcPr>
          <w:p w:rsidR="00FD7BB5" w:rsidRPr="00C929EA" w:rsidRDefault="00FD7BB5" w:rsidP="00FD7BB5">
            <w:pPr>
              <w:jc w:val="center"/>
              <w:rPr>
                <w:rFonts w:ascii="Bernard MT Condensed" w:hAnsi="Bernard MT Condensed"/>
                <w:b/>
                <w:bCs/>
              </w:rPr>
            </w:pPr>
            <w:r w:rsidRPr="00C929EA">
              <w:rPr>
                <w:rFonts w:ascii="Bernard MT Condensed" w:hAnsi="Bernard MT Condensed"/>
                <w:b/>
                <w:bCs/>
              </w:rPr>
              <w:t>Text</w:t>
            </w:r>
          </w:p>
        </w:tc>
        <w:tc>
          <w:tcPr>
            <w:tcW w:w="2257" w:type="dxa"/>
            <w:shd w:val="clear" w:color="auto" w:fill="E6E6E6"/>
          </w:tcPr>
          <w:p w:rsidR="00FD7BB5" w:rsidRPr="00C929EA" w:rsidRDefault="00FD7BB5" w:rsidP="00FD7BB5">
            <w:pPr>
              <w:jc w:val="center"/>
              <w:rPr>
                <w:rFonts w:ascii="Bernard MT Condensed" w:hAnsi="Bernard MT Condensed"/>
                <w:b/>
                <w:bCs/>
              </w:rPr>
            </w:pPr>
            <w:r w:rsidRPr="00C929EA">
              <w:rPr>
                <w:rFonts w:ascii="Bernard MT Condensed" w:hAnsi="Bernard MT Condensed"/>
                <w:b/>
                <w:bCs/>
              </w:rPr>
              <w:t>Important Details and My Background Knowledge</w:t>
            </w:r>
          </w:p>
        </w:tc>
        <w:tc>
          <w:tcPr>
            <w:tcW w:w="3628" w:type="dxa"/>
            <w:shd w:val="clear" w:color="auto" w:fill="E6E6E6"/>
          </w:tcPr>
          <w:p w:rsidR="00FD7BB5" w:rsidRPr="00C929EA" w:rsidRDefault="00FD7BB5" w:rsidP="00FD7BB5">
            <w:pPr>
              <w:rPr>
                <w:rFonts w:ascii="Bernard MT Condensed" w:hAnsi="Bernard MT Condensed"/>
                <w:b/>
                <w:bCs/>
              </w:rPr>
            </w:pPr>
            <w:r w:rsidRPr="00C929EA">
              <w:rPr>
                <w:rFonts w:ascii="Bernard MT Condensed" w:hAnsi="Bernard MT Condensed"/>
                <w:b/>
                <w:bCs/>
              </w:rPr>
              <w:t>Conclusions Drawn About the Narrator Based Upon Characters</w:t>
            </w:r>
            <w:r w:rsidR="00C929EA">
              <w:rPr>
                <w:rFonts w:ascii="Bernard MT Condensed" w:hAnsi="Bernard MT Condensed"/>
                <w:b/>
                <w:bCs/>
              </w:rPr>
              <w:t>’</w:t>
            </w:r>
            <w:r w:rsidRPr="00C929EA">
              <w:rPr>
                <w:rFonts w:ascii="Bernard MT Condensed" w:hAnsi="Bernard MT Condensed"/>
                <w:b/>
                <w:bCs/>
              </w:rPr>
              <w:t xml:space="preserve"> Thoughts and/or Observations</w:t>
            </w:r>
          </w:p>
        </w:tc>
      </w:tr>
      <w:tr w:rsidR="00FD7BB5">
        <w:trPr>
          <w:trHeight w:val="3653"/>
        </w:trPr>
        <w:tc>
          <w:tcPr>
            <w:tcW w:w="1800" w:type="dxa"/>
          </w:tcPr>
          <w:p w:rsidR="00FD7BB5" w:rsidRDefault="00FD7BB5" w:rsidP="00FD7BB5">
            <w:pPr>
              <w:rPr>
                <w:b/>
                <w:bCs/>
              </w:rPr>
            </w:pPr>
            <w:r>
              <w:rPr>
                <w:b/>
                <w:bCs/>
              </w:rPr>
              <w:t>(Model)</w:t>
            </w:r>
          </w:p>
          <w:p w:rsidR="00FD7BB5" w:rsidRDefault="00FD7BB5" w:rsidP="00FD7BB5">
            <w:pPr>
              <w:rPr>
                <w:b/>
                <w:bCs/>
              </w:rPr>
            </w:pPr>
          </w:p>
          <w:p w:rsidR="00FD7BB5" w:rsidRDefault="00FD7BB5" w:rsidP="00FD7BB5">
            <w:pPr>
              <w:rPr>
                <w:b/>
                <w:bCs/>
              </w:rPr>
            </w:pPr>
            <w:r>
              <w:rPr>
                <w:b/>
              </w:rPr>
              <w:t xml:space="preserve">First Person, from </w:t>
            </w:r>
            <w:proofErr w:type="spellStart"/>
            <w:r>
              <w:rPr>
                <w:b/>
              </w:rPr>
              <w:t>Panchito’s</w:t>
            </w:r>
            <w:proofErr w:type="spellEnd"/>
            <w:r>
              <w:rPr>
                <w:b/>
              </w:rPr>
              <w:t xml:space="preserve"> P.O.V.</w:t>
            </w:r>
          </w:p>
        </w:tc>
        <w:tc>
          <w:tcPr>
            <w:tcW w:w="3835" w:type="dxa"/>
          </w:tcPr>
          <w:p w:rsidR="00FD7BB5" w:rsidRPr="00643B0E" w:rsidRDefault="00FD7BB5" w:rsidP="00FD7BB5">
            <w:pPr>
              <w:rPr>
                <w:b/>
                <w:sz w:val="22"/>
                <w:szCs w:val="22"/>
              </w:rPr>
            </w:pPr>
            <w:r>
              <w:rPr>
                <w:b/>
                <w:sz w:val="22"/>
                <w:szCs w:val="22"/>
              </w:rPr>
              <w:t>F</w:t>
            </w:r>
            <w:r w:rsidRPr="00643B0E">
              <w:rPr>
                <w:b/>
                <w:sz w:val="22"/>
                <w:szCs w:val="22"/>
              </w:rPr>
              <w:t>rom “The Circuit,” by Francisco Jimenez</w:t>
            </w:r>
          </w:p>
          <w:p w:rsidR="00FD7BB5" w:rsidRPr="00483C14" w:rsidRDefault="00FD7BB5" w:rsidP="00FD7BB5">
            <w:r>
              <w:t xml:space="preserve">It was Monday, the first week of November.  The grape season was now over and I could now go to school.  I woke up early that morning and lay in bed, looking at the stars and savoring the thought of not going to work and of starting sixth grade for the first time that year.  Since I could not sleep, I decided to get up and join Papa and Roberto at breakfast.  I sat at the table across from Roberto, but I kept my head </w:t>
            </w:r>
            <w:proofErr w:type="gramStart"/>
            <w:r>
              <w:t>down.</w:t>
            </w:r>
            <w:proofErr w:type="gramEnd"/>
            <w:r>
              <w:t xml:space="preserve"> . . . I knew he was sad.  He was not going to school today.  He was not going tomorrow, or next week, or next month.</w:t>
            </w:r>
          </w:p>
        </w:tc>
        <w:tc>
          <w:tcPr>
            <w:tcW w:w="2257" w:type="dxa"/>
          </w:tcPr>
          <w:p w:rsidR="00FD7BB5" w:rsidRDefault="00FD7BB5" w:rsidP="00FD7BB5">
            <w:pPr>
              <w:rPr>
                <w:bCs/>
              </w:rPr>
            </w:pPr>
            <w:r w:rsidRPr="006B448F">
              <w:rPr>
                <w:bCs/>
              </w:rPr>
              <w:t>I know “The Circuit” is about a boy from a Mexican migrant family.</w:t>
            </w:r>
          </w:p>
          <w:p w:rsidR="00FD7BB5" w:rsidRPr="006B448F" w:rsidRDefault="00FD7BB5" w:rsidP="00FD7BB5">
            <w:pPr>
              <w:rPr>
                <w:bCs/>
              </w:rPr>
            </w:pPr>
          </w:p>
          <w:p w:rsidR="00FD7BB5" w:rsidRDefault="00FD7BB5" w:rsidP="00FD7BB5">
            <w:pPr>
              <w:rPr>
                <w:bCs/>
              </w:rPr>
            </w:pPr>
            <w:r w:rsidRPr="006B448F">
              <w:rPr>
                <w:bCs/>
              </w:rPr>
              <w:t>The narrator doesn’t have to pick grapes anymore, so he gets to go to school.</w:t>
            </w:r>
          </w:p>
          <w:p w:rsidR="00FD7BB5" w:rsidRPr="006B448F" w:rsidRDefault="00FD7BB5" w:rsidP="00FD7BB5">
            <w:pPr>
              <w:rPr>
                <w:bCs/>
              </w:rPr>
            </w:pPr>
          </w:p>
          <w:p w:rsidR="00FD7BB5" w:rsidRDefault="00FD7BB5" w:rsidP="00FD7BB5">
            <w:pPr>
              <w:rPr>
                <w:bCs/>
              </w:rPr>
            </w:pPr>
            <w:r w:rsidRPr="006B448F">
              <w:rPr>
                <w:bCs/>
              </w:rPr>
              <w:t>He’s happy because he’s going to sixth grade instead of working on a farm.</w:t>
            </w:r>
          </w:p>
          <w:p w:rsidR="00FD7BB5" w:rsidRPr="006B448F" w:rsidRDefault="00FD7BB5" w:rsidP="00FD7BB5">
            <w:pPr>
              <w:rPr>
                <w:bCs/>
              </w:rPr>
            </w:pPr>
          </w:p>
          <w:p w:rsidR="00FD7BB5" w:rsidRPr="0040163C" w:rsidRDefault="00FD7BB5" w:rsidP="00FD7BB5">
            <w:pPr>
              <w:rPr>
                <w:bCs/>
              </w:rPr>
            </w:pPr>
            <w:r w:rsidRPr="006B448F">
              <w:rPr>
                <w:bCs/>
              </w:rPr>
              <w:t>He’s sad that his brother Roberto won’t be able to go to school.</w:t>
            </w:r>
            <w:r>
              <w:rPr>
                <w:bCs/>
              </w:rPr>
              <w:t xml:space="preserve"> </w:t>
            </w:r>
          </w:p>
        </w:tc>
        <w:tc>
          <w:tcPr>
            <w:tcW w:w="3628" w:type="dxa"/>
          </w:tcPr>
          <w:p w:rsidR="00FD7BB5" w:rsidRPr="008749E7" w:rsidRDefault="00FD7BB5" w:rsidP="00FD7BB5">
            <w:pPr>
              <w:rPr>
                <w:bCs/>
              </w:rPr>
            </w:pPr>
            <w:r w:rsidRPr="008749E7">
              <w:rPr>
                <w:bCs/>
              </w:rPr>
              <w:t xml:space="preserve">The narrator is from a family of migrant workers who live in California but come from Mexico.  The narrator is still a child, but he and his brother </w:t>
            </w:r>
            <w:r>
              <w:rPr>
                <w:bCs/>
              </w:rPr>
              <w:t xml:space="preserve">have to </w:t>
            </w:r>
            <w:r w:rsidRPr="008749E7">
              <w:rPr>
                <w:bCs/>
              </w:rPr>
              <w:t xml:space="preserve">work on farms just like his father does.  </w:t>
            </w:r>
            <w:r>
              <w:rPr>
                <w:bCs/>
              </w:rPr>
              <w:t>We can tell that t</w:t>
            </w:r>
            <w:r w:rsidRPr="008749E7">
              <w:rPr>
                <w:bCs/>
              </w:rPr>
              <w:t xml:space="preserve">he narrator does not like </w:t>
            </w:r>
            <w:r>
              <w:rPr>
                <w:bCs/>
              </w:rPr>
              <w:t>working on farms; h</w:t>
            </w:r>
            <w:r w:rsidRPr="008749E7">
              <w:rPr>
                <w:bCs/>
              </w:rPr>
              <w:t>e instead prefers to go to school</w:t>
            </w:r>
            <w:r>
              <w:rPr>
                <w:bCs/>
              </w:rPr>
              <w:t>.  The narrator is also a sympathetic person because he says that he</w:t>
            </w:r>
            <w:r w:rsidRPr="008749E7">
              <w:rPr>
                <w:bCs/>
              </w:rPr>
              <w:t xml:space="preserve"> is sad that </w:t>
            </w:r>
            <w:r>
              <w:rPr>
                <w:bCs/>
              </w:rPr>
              <w:t xml:space="preserve">his brother </w:t>
            </w:r>
            <w:r w:rsidRPr="008749E7">
              <w:rPr>
                <w:bCs/>
              </w:rPr>
              <w:t>Roberto cannot go to school at all.</w:t>
            </w:r>
            <w:r>
              <w:rPr>
                <w:bCs/>
              </w:rPr>
              <w:t xml:space="preserve"> </w:t>
            </w:r>
          </w:p>
        </w:tc>
      </w:tr>
      <w:tr w:rsidR="00FD7BB5">
        <w:tc>
          <w:tcPr>
            <w:tcW w:w="1800" w:type="dxa"/>
          </w:tcPr>
          <w:p w:rsidR="00FD7BB5" w:rsidRDefault="00FD7BB5" w:rsidP="00FD7BB5">
            <w:pPr>
              <w:rPr>
                <w:b/>
                <w:bCs/>
              </w:rPr>
            </w:pPr>
            <w:r>
              <w:rPr>
                <w:b/>
                <w:bCs/>
              </w:rPr>
              <w:t>(Guided)</w:t>
            </w:r>
          </w:p>
          <w:p w:rsidR="00FD7BB5" w:rsidRDefault="00FD7BB5" w:rsidP="00FD7BB5">
            <w:pPr>
              <w:rPr>
                <w:b/>
                <w:bCs/>
              </w:rPr>
            </w:pPr>
          </w:p>
          <w:p w:rsidR="00FD7BB5" w:rsidRDefault="00FD7BB5" w:rsidP="00FD7BB5">
            <w:pPr>
              <w:rPr>
                <w:b/>
                <w:bCs/>
              </w:rPr>
            </w:pPr>
            <w:r>
              <w:rPr>
                <w:b/>
              </w:rPr>
              <w:t>First Person, from the little girl’s P.O.V.</w:t>
            </w:r>
          </w:p>
        </w:tc>
        <w:tc>
          <w:tcPr>
            <w:tcW w:w="3835" w:type="dxa"/>
          </w:tcPr>
          <w:p w:rsidR="00FD7BB5" w:rsidRDefault="00FD7BB5" w:rsidP="00FD7BB5">
            <w:pPr>
              <w:rPr>
                <w:b/>
                <w:sz w:val="22"/>
                <w:szCs w:val="22"/>
              </w:rPr>
            </w:pPr>
            <w:r>
              <w:rPr>
                <w:b/>
                <w:sz w:val="22"/>
                <w:szCs w:val="22"/>
              </w:rPr>
              <w:t>From “Crow Call,” by Lois Lowry</w:t>
            </w:r>
          </w:p>
          <w:p w:rsidR="00FD7BB5" w:rsidRDefault="00FD7BB5" w:rsidP="00FD7BB5">
            <w:pPr>
              <w:rPr>
                <w:b/>
                <w:sz w:val="22"/>
                <w:szCs w:val="22"/>
              </w:rPr>
            </w:pPr>
            <w:r>
              <w:rPr>
                <w:b/>
                <w:sz w:val="22"/>
                <w:szCs w:val="22"/>
              </w:rPr>
              <w:t>(</w:t>
            </w:r>
            <w:proofErr w:type="gramStart"/>
            <w:r>
              <w:rPr>
                <w:b/>
                <w:sz w:val="22"/>
                <w:szCs w:val="22"/>
              </w:rPr>
              <w:t>pgs</w:t>
            </w:r>
            <w:proofErr w:type="gramEnd"/>
            <w:r>
              <w:rPr>
                <w:b/>
                <w:sz w:val="22"/>
                <w:szCs w:val="22"/>
              </w:rPr>
              <w:t>. 669-673)</w:t>
            </w:r>
          </w:p>
          <w:p w:rsidR="00FD7BB5" w:rsidRDefault="00FD7BB5" w:rsidP="00FD7BB5">
            <w:r>
              <w:t xml:space="preserve">My father had bought the shirt for me.  In town to buy groceries, he had noticed my hesitating in front of </w:t>
            </w:r>
            <w:proofErr w:type="spellStart"/>
            <w:r>
              <w:t>Kronenberg’s</w:t>
            </w:r>
            <w:proofErr w:type="spellEnd"/>
            <w:r>
              <w:t xml:space="preserve"> window.  The plaid hunting shirts had been in the store for a month—the popular red-and-black and green-and-black ones toward the front, clothing ruddy mannequins holding guns and duck decoys; but my shirt, the rainbow plaid, hung separately on a wooden hanger toward the back of the display.  I had lingered in front of </w:t>
            </w:r>
            <w:proofErr w:type="spellStart"/>
            <w:r>
              <w:t>Kronenberg’s</w:t>
            </w:r>
            <w:proofErr w:type="spellEnd"/>
            <w:r>
              <w:t xml:space="preserve"> window every chance I had since the hunting shirts had appeared.</w:t>
            </w:r>
          </w:p>
          <w:p w:rsidR="00FD7BB5" w:rsidRDefault="00FD7BB5" w:rsidP="00FD7BB5">
            <w:r>
              <w:t xml:space="preserve">    My sister had rolled her eyes in disdain.  “Daddy,” she pointed out to him as we entered </w:t>
            </w:r>
            <w:proofErr w:type="spellStart"/>
            <w:r>
              <w:t>Kronenberg’s</w:t>
            </w:r>
            <w:proofErr w:type="spellEnd"/>
            <w:r>
              <w:t xml:space="preserve">, “that’s a </w:t>
            </w:r>
            <w:r>
              <w:rPr>
                <w:i/>
              </w:rPr>
              <w:t>man’s</w:t>
            </w:r>
            <w:r>
              <w:t xml:space="preserve"> shirt.”</w:t>
            </w:r>
          </w:p>
          <w:p w:rsidR="00FD7BB5" w:rsidRDefault="00FD7BB5" w:rsidP="00FD7BB5">
            <w:r>
              <w:t xml:space="preserve">   The salesman had smiled and said dubiously, “I don’t quite think . . .” </w:t>
            </w:r>
          </w:p>
          <w:p w:rsidR="00FD7BB5" w:rsidRDefault="00FD7BB5" w:rsidP="00FD7BB5">
            <w:r>
              <w:t xml:space="preserve">   “You know,” my father had said to me as the salesman wrapped the shirt, “buying this shirt is probably a very practical thing to do.  You will never </w:t>
            </w:r>
            <w:r>
              <w:rPr>
                <w:i/>
              </w:rPr>
              <w:t>ever</w:t>
            </w:r>
            <w:r>
              <w:t xml:space="preserve"> outgrow this shirt.”</w:t>
            </w:r>
          </w:p>
          <w:p w:rsidR="00FD7BB5" w:rsidRDefault="00FD7BB5" w:rsidP="00FD7BB5">
            <w:r>
              <w:t xml:space="preserve">   Now, as I got out of the car in front of the diner where we were going to have breakfast, the shirt unfolded itself downward until the bottom of it reached my knees; from the bulky thickness of rolled-back cuffs my hands were exposed.  </w:t>
            </w:r>
          </w:p>
          <w:p w:rsidR="00FD7BB5" w:rsidRDefault="00FD7BB5" w:rsidP="00FD7BB5">
            <w:r>
              <w:t xml:space="preserve">   My father ordered coffee for himself.   The waitress, middle-aged and dawn-sleepy, asked, “What about your boy?  What does he want?”  </w:t>
            </w:r>
          </w:p>
          <w:p w:rsidR="00FD7BB5" w:rsidRPr="00122F94" w:rsidRDefault="00FD7BB5" w:rsidP="00FD7BB5">
            <w:pPr>
              <w:rPr>
                <w:b/>
              </w:rPr>
            </w:pPr>
            <w:r>
              <w:t xml:space="preserve">   My father winked at me, and I hoped that my pigtails would stay hidden inside the plaid wool collar (669-670).</w:t>
            </w:r>
          </w:p>
        </w:tc>
        <w:tc>
          <w:tcPr>
            <w:tcW w:w="2257" w:type="dxa"/>
          </w:tcPr>
          <w:p w:rsidR="00FD7BB5" w:rsidRPr="002D72C0" w:rsidRDefault="00FD7BB5" w:rsidP="00FD7BB5">
            <w:pPr>
              <w:rPr>
                <w:bCs/>
              </w:rPr>
            </w:pPr>
            <w:r>
              <w:rPr>
                <w:bCs/>
              </w:rPr>
              <w:t xml:space="preserve"> </w:t>
            </w:r>
          </w:p>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tc>
        <w:tc>
          <w:tcPr>
            <w:tcW w:w="3628" w:type="dxa"/>
          </w:tcPr>
          <w:p w:rsidR="00FD7BB5" w:rsidRDefault="00FD7BB5" w:rsidP="00FD7BB5">
            <w:pPr>
              <w:rPr>
                <w:b/>
                <w:bCs/>
              </w:rPr>
            </w:pPr>
          </w:p>
        </w:tc>
      </w:tr>
      <w:tr w:rsidR="00FD7BB5">
        <w:tc>
          <w:tcPr>
            <w:tcW w:w="1800" w:type="dxa"/>
          </w:tcPr>
          <w:p w:rsidR="00FD7BB5" w:rsidRDefault="00FD7BB5" w:rsidP="00FD7BB5">
            <w:pPr>
              <w:rPr>
                <w:b/>
                <w:bCs/>
              </w:rPr>
            </w:pPr>
            <w:r>
              <w:rPr>
                <w:b/>
                <w:bCs/>
              </w:rPr>
              <w:t>(Independent)</w:t>
            </w:r>
          </w:p>
          <w:p w:rsidR="00FD7BB5" w:rsidRDefault="00FD7BB5" w:rsidP="00FD7BB5">
            <w:pPr>
              <w:rPr>
                <w:b/>
                <w:bCs/>
              </w:rPr>
            </w:pPr>
          </w:p>
          <w:p w:rsidR="00FD7BB5" w:rsidRDefault="00FD7BB5" w:rsidP="00FD7BB5">
            <w:pPr>
              <w:rPr>
                <w:b/>
                <w:bCs/>
              </w:rPr>
            </w:pPr>
            <w:r>
              <w:rPr>
                <w:b/>
              </w:rPr>
              <w:t>First Person, from Rachel’s P.O.V</w:t>
            </w:r>
            <w:proofErr w:type="gramStart"/>
            <w:r>
              <w:rPr>
                <w:b/>
              </w:rPr>
              <w:t>.</w:t>
            </w:r>
            <w:r>
              <w:rPr>
                <w:b/>
                <w:bCs/>
              </w:rPr>
              <w:t>.</w:t>
            </w:r>
            <w:proofErr w:type="gramEnd"/>
          </w:p>
        </w:tc>
        <w:tc>
          <w:tcPr>
            <w:tcW w:w="3835" w:type="dxa"/>
          </w:tcPr>
          <w:p w:rsidR="00FD7BB5" w:rsidRDefault="00FD7BB5" w:rsidP="00FD7BB5">
            <w:pPr>
              <w:rPr>
                <w:b/>
                <w:sz w:val="22"/>
                <w:szCs w:val="22"/>
              </w:rPr>
            </w:pPr>
            <w:r>
              <w:rPr>
                <w:b/>
                <w:bCs/>
              </w:rPr>
              <w:t>“</w:t>
            </w:r>
            <w:r w:rsidRPr="00E35449">
              <w:rPr>
                <w:b/>
                <w:sz w:val="22"/>
                <w:szCs w:val="22"/>
              </w:rPr>
              <w:t>From “Eleven,” by Sandra Cisneros</w:t>
            </w:r>
          </w:p>
          <w:p w:rsidR="00FD7BB5" w:rsidRPr="00E35449" w:rsidRDefault="00FD7BB5" w:rsidP="00FD7BB5">
            <w:pPr>
              <w:rPr>
                <w:b/>
                <w:sz w:val="22"/>
                <w:szCs w:val="22"/>
              </w:rPr>
            </w:pPr>
            <w:r>
              <w:rPr>
                <w:b/>
                <w:sz w:val="22"/>
                <w:szCs w:val="22"/>
              </w:rPr>
              <w:t>(Pgs. 27-28).</w:t>
            </w:r>
          </w:p>
          <w:p w:rsidR="00FD7BB5" w:rsidRDefault="00FD7BB5" w:rsidP="00FD7BB5">
            <w:r>
              <w:t>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  Because the way you grow old is kind of like an onion or like the rings inside a tree trunk or like my little wooden dolls that fit one inside the other, each year inside the next one.  That’s how being eleven years old is.</w:t>
            </w:r>
          </w:p>
          <w:p w:rsidR="00FD7BB5" w:rsidRDefault="00FD7BB5" w:rsidP="00FD7BB5">
            <w:pPr>
              <w:rPr>
                <w:b/>
                <w:bCs/>
              </w:rPr>
            </w:pPr>
            <w:r>
              <w:t xml:space="preserve">   </w:t>
            </w:r>
            <w:proofErr w:type="gramStart"/>
            <w:r>
              <w:t>. .</w:t>
            </w:r>
            <w:proofErr w:type="gramEnd"/>
            <w:r>
              <w:t xml:space="preserve"> . . Only today I wish I didn’t have only eleven years old rattling around inside </w:t>
            </w:r>
            <w:proofErr w:type="gramStart"/>
            <w:r>
              <w:t>me.</w:t>
            </w:r>
            <w:proofErr w:type="gramEnd"/>
            <w:r>
              <w:t xml:space="preserve"> . . . </w:t>
            </w:r>
            <w:proofErr w:type="gramStart"/>
            <w:r>
              <w:t>today</w:t>
            </w:r>
            <w:proofErr w:type="gramEnd"/>
            <w:r>
              <w:t xml:space="preserve"> I wish I was one hundred and two instead of eleven because if I was one hundred and two I’d have known what to say when Mrs. Price put the red sweater on my desk.</w:t>
            </w:r>
          </w:p>
        </w:tc>
        <w:tc>
          <w:tcPr>
            <w:tcW w:w="2257" w:type="dxa"/>
          </w:tcPr>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p w:rsidR="00FD7BB5" w:rsidRDefault="00FD7BB5" w:rsidP="00FD7BB5">
            <w:pPr>
              <w:rPr>
                <w:b/>
                <w:bCs/>
              </w:rPr>
            </w:pPr>
          </w:p>
        </w:tc>
        <w:tc>
          <w:tcPr>
            <w:tcW w:w="3628" w:type="dxa"/>
          </w:tcPr>
          <w:p w:rsidR="00FD7BB5" w:rsidRDefault="00FD7BB5" w:rsidP="00FD7BB5">
            <w:pPr>
              <w:rPr>
                <w:b/>
                <w:bCs/>
              </w:rPr>
            </w:pPr>
          </w:p>
        </w:tc>
      </w:tr>
    </w:tbl>
    <w:p w:rsidR="00C929EA" w:rsidRDefault="00C929EA" w:rsidP="00405F96">
      <w:pPr>
        <w:rPr>
          <w:rFonts w:ascii="Arial" w:hAnsi="Arial" w:cs="Arial"/>
          <w:sz w:val="28"/>
          <w:szCs w:val="28"/>
        </w:rPr>
      </w:pPr>
    </w:p>
    <w:p w:rsidR="00FD7BB5" w:rsidRDefault="00FD7BB5" w:rsidP="00405F96">
      <w:pPr>
        <w:rPr>
          <w:rFonts w:ascii="Arial" w:hAnsi="Arial" w:cs="Arial"/>
          <w:sz w:val="28"/>
          <w:szCs w:val="28"/>
        </w:rPr>
      </w:pPr>
    </w:p>
    <w:p w:rsidR="00C929EA" w:rsidRPr="008D4BC7" w:rsidRDefault="00C929EA" w:rsidP="00C929EA">
      <w:pPr>
        <w:pStyle w:val="NoSpacing"/>
        <w:rPr>
          <w:rFonts w:ascii="Times New Roman" w:hAnsi="Times New Roman"/>
          <w:noProof/>
          <w:sz w:val="20"/>
        </w:rPr>
      </w:pPr>
      <w:r w:rsidRPr="008D4BC7">
        <w:rPr>
          <w:rFonts w:ascii="Times New Roman" w:hAnsi="Times New Roman" w:cs="Arial"/>
          <w:sz w:val="20"/>
          <w:szCs w:val="28"/>
        </w:rPr>
        <w:t>Now you are ready to apply your skills to the story read in class, “Names/</w:t>
      </w:r>
      <w:proofErr w:type="spellStart"/>
      <w:r w:rsidRPr="008D4BC7">
        <w:rPr>
          <w:rFonts w:ascii="Times New Roman" w:hAnsi="Times New Roman" w:cs="Arial"/>
          <w:sz w:val="20"/>
          <w:szCs w:val="28"/>
        </w:rPr>
        <w:t>Nombres</w:t>
      </w:r>
      <w:proofErr w:type="spellEnd"/>
      <w:r w:rsidRPr="008D4BC7">
        <w:rPr>
          <w:rFonts w:ascii="Times New Roman" w:hAnsi="Times New Roman" w:cs="Arial"/>
          <w:sz w:val="20"/>
          <w:szCs w:val="28"/>
        </w:rPr>
        <w:t xml:space="preserve">.” </w:t>
      </w:r>
      <w:r w:rsidR="00405F96" w:rsidRPr="008D4BC7">
        <w:rPr>
          <w:rFonts w:ascii="Times New Roman" w:hAnsi="Times New Roman" w:cs="Arial"/>
          <w:sz w:val="20"/>
          <w:szCs w:val="28"/>
        </w:rPr>
        <w:t>In a graphic like the one shown, note clues that contribute to Alvarez’s message about names and identities.  What is the writer’s message in “Names/</w:t>
      </w:r>
      <w:proofErr w:type="spellStart"/>
      <w:r w:rsidR="00405F96" w:rsidRPr="008D4BC7">
        <w:rPr>
          <w:rFonts w:ascii="Times New Roman" w:hAnsi="Times New Roman" w:cs="Arial"/>
          <w:sz w:val="20"/>
          <w:szCs w:val="28"/>
        </w:rPr>
        <w:t>Nombres</w:t>
      </w:r>
      <w:proofErr w:type="spellEnd"/>
      <w:r w:rsidR="00405F96" w:rsidRPr="008D4BC7">
        <w:rPr>
          <w:rFonts w:ascii="Times New Roman" w:hAnsi="Times New Roman" w:cs="Arial"/>
          <w:sz w:val="20"/>
          <w:szCs w:val="28"/>
        </w:rPr>
        <w:t>”?  Explain your reasoning based on the information in your graphic.</w:t>
      </w:r>
      <w:r w:rsidR="00C638F8" w:rsidRPr="008D4BC7">
        <w:rPr>
          <w:rFonts w:ascii="Times New Roman" w:hAnsi="Times New Roman"/>
          <w:noProof/>
          <w:sz w:val="20"/>
        </w:rPr>
        <w:t xml:space="preserve"> </w:t>
      </w:r>
    </w:p>
    <w:p w:rsidR="00FD7BB5" w:rsidRPr="00C929EA" w:rsidRDefault="00FD7BB5" w:rsidP="00C929EA">
      <w:pPr>
        <w:pStyle w:val="NoSpacing"/>
        <w:rPr>
          <w:rFonts w:ascii="Times New Roman" w:hAnsi="Times New Roman" w:cs="Arial"/>
          <w:sz w:val="24"/>
          <w:szCs w:val="28"/>
        </w:rPr>
      </w:pPr>
    </w:p>
    <w:p w:rsidR="00FD7BB5" w:rsidRDefault="00FD7BB5" w:rsidP="00FD7BB5">
      <w:pPr>
        <w:pStyle w:val="NoSpacing"/>
        <w:ind w:left="720"/>
        <w:rPr>
          <w:rFonts w:ascii="Arial" w:hAnsi="Arial" w:cs="Arial"/>
          <w:sz w:val="28"/>
          <w:szCs w:val="28"/>
        </w:rPr>
      </w:pPr>
      <w:r>
        <w:rPr>
          <w:rFonts w:ascii="Arial" w:hAnsi="Arial" w:cs="Arial"/>
          <w:noProof/>
          <w:sz w:val="28"/>
          <w:szCs w:val="28"/>
        </w:rPr>
        <w:drawing>
          <wp:inline distT="0" distB="0" distL="0" distR="0">
            <wp:extent cx="4971415" cy="2378710"/>
            <wp:effectExtent l="25400" t="0" r="6985"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4971415" cy="2378710"/>
                    </a:xfrm>
                    <a:prstGeom prst="rect">
                      <a:avLst/>
                    </a:prstGeom>
                    <a:noFill/>
                    <a:ln w="9525">
                      <a:noFill/>
                      <a:miter lim="800000"/>
                      <a:headEnd/>
                      <a:tailEnd/>
                    </a:ln>
                  </pic:spPr>
                </pic:pic>
              </a:graphicData>
            </a:graphic>
          </wp:inline>
        </w:drawing>
      </w:r>
    </w:p>
    <w:p w:rsidR="00FD7BB5" w:rsidRDefault="00FD7BB5" w:rsidP="00405F96">
      <w:pPr>
        <w:pStyle w:val="NoSpacing"/>
        <w:rPr>
          <w:rFonts w:ascii="Arial" w:hAnsi="Arial" w:cs="Arial"/>
          <w:sz w:val="28"/>
          <w:szCs w:val="28"/>
        </w:rPr>
      </w:pPr>
    </w:p>
    <w:p w:rsidR="00405F96" w:rsidRPr="008D4BC7" w:rsidRDefault="00405F96" w:rsidP="00C638F8">
      <w:pPr>
        <w:pStyle w:val="NoSpacing"/>
        <w:rPr>
          <w:rFonts w:ascii="Times New Roman" w:hAnsi="Times New Roman" w:cs="Arial"/>
          <w:sz w:val="16"/>
          <w:szCs w:val="28"/>
        </w:rPr>
      </w:pPr>
      <w:r w:rsidRPr="008D4BC7">
        <w:rPr>
          <w:rFonts w:ascii="Times New Roman" w:hAnsi="Times New Roman" w:cs="Arial"/>
          <w:sz w:val="16"/>
          <w:szCs w:val="28"/>
        </w:rPr>
        <w:t xml:space="preserve">Adapted from </w:t>
      </w:r>
      <w:r w:rsidR="00C929EA" w:rsidRPr="008D4BC7">
        <w:rPr>
          <w:rFonts w:ascii="Times New Roman" w:eastAsiaTheme="minorHAnsi" w:hAnsi="Times New Roman" w:cstheme="minorBidi"/>
          <w:sz w:val="16"/>
          <w:szCs w:val="20"/>
        </w:rPr>
        <w:t xml:space="preserve">“Drawing Conclusions About the Narrator.” </w:t>
      </w:r>
      <w:r w:rsidR="00C929EA" w:rsidRPr="008D4BC7">
        <w:rPr>
          <w:rFonts w:ascii="Times New Roman" w:eastAsiaTheme="minorHAnsi" w:hAnsi="Times New Roman" w:cstheme="minorBidi"/>
          <w:i/>
          <w:sz w:val="16"/>
          <w:szCs w:val="20"/>
        </w:rPr>
        <w:t>Grade 6 Reading/Language Arts: Unit 8 Appendix</w:t>
      </w:r>
      <w:r w:rsidR="00C929EA" w:rsidRPr="008D4BC7">
        <w:rPr>
          <w:rFonts w:ascii="Times New Roman" w:eastAsiaTheme="minorHAnsi" w:hAnsi="Times New Roman" w:cstheme="minorBidi"/>
          <w:sz w:val="16"/>
          <w:szCs w:val="20"/>
        </w:rPr>
        <w:t xml:space="preserve">. </w:t>
      </w:r>
      <w:proofErr w:type="gramStart"/>
      <w:r w:rsidR="00C929EA" w:rsidRPr="008D4BC7">
        <w:rPr>
          <w:rFonts w:ascii="Times New Roman" w:eastAsiaTheme="minorHAnsi" w:hAnsi="Times New Roman" w:cstheme="minorBidi"/>
          <w:sz w:val="16"/>
          <w:szCs w:val="20"/>
        </w:rPr>
        <w:t>Baltimore City Public Schools</w:t>
      </w:r>
      <w:r w:rsidR="008D4BC7" w:rsidRPr="008D4BC7">
        <w:rPr>
          <w:rFonts w:ascii="Times New Roman" w:eastAsiaTheme="minorHAnsi" w:hAnsi="Times New Roman" w:cstheme="minorBidi"/>
          <w:sz w:val="16"/>
          <w:szCs w:val="20"/>
        </w:rPr>
        <w:t xml:space="preserve">, </w:t>
      </w:r>
      <w:proofErr w:type="spellStart"/>
      <w:r w:rsidR="008D4BC7" w:rsidRPr="008D4BC7">
        <w:rPr>
          <w:rFonts w:ascii="Times New Roman" w:eastAsiaTheme="minorHAnsi" w:hAnsi="Times New Roman" w:cstheme="minorBidi"/>
          <w:sz w:val="16"/>
          <w:szCs w:val="20"/>
        </w:rPr>
        <w:t>n.d</w:t>
      </w:r>
      <w:proofErr w:type="spellEnd"/>
      <w:r w:rsidR="00C929EA" w:rsidRPr="008D4BC7">
        <w:rPr>
          <w:rFonts w:ascii="Times New Roman" w:eastAsiaTheme="minorHAnsi" w:hAnsi="Times New Roman" w:cstheme="minorBidi"/>
          <w:sz w:val="16"/>
          <w:szCs w:val="20"/>
        </w:rPr>
        <w:t>. Web.</w:t>
      </w:r>
      <w:proofErr w:type="gramEnd"/>
      <w:r w:rsidR="00C929EA" w:rsidRPr="008D4BC7">
        <w:rPr>
          <w:rFonts w:ascii="Times New Roman" w:eastAsiaTheme="minorHAnsi" w:hAnsi="Times New Roman" w:cstheme="minorBidi"/>
          <w:sz w:val="16"/>
          <w:szCs w:val="20"/>
        </w:rPr>
        <w:t xml:space="preserve"> 9 July 2013. </w:t>
      </w:r>
      <w:proofErr w:type="gramStart"/>
      <w:r w:rsidR="008D4BC7" w:rsidRPr="008D4BC7">
        <w:rPr>
          <w:rFonts w:ascii="Times New Roman" w:eastAsiaTheme="minorHAnsi" w:hAnsi="Times New Roman" w:cstheme="minorBidi"/>
          <w:sz w:val="16"/>
          <w:szCs w:val="20"/>
        </w:rPr>
        <w:t>&lt;</w:t>
      </w:r>
      <w:r w:rsidR="008D4BC7" w:rsidRPr="008D4BC7">
        <w:rPr>
          <w:rFonts w:ascii="Times New Roman" w:hAnsi="Times New Roman" w:cstheme="minorBidi"/>
          <w:sz w:val="16"/>
          <w:szCs w:val="20"/>
        </w:rPr>
        <w:t>http://www.bcpss.org/bbcswebd</w:t>
      </w:r>
      <w:r w:rsidR="008D4BC7" w:rsidRPr="008D4BC7">
        <w:rPr>
          <w:rFonts w:ascii="Times New Roman" w:hAnsi="Times New Roman" w:cstheme="minorBidi"/>
          <w:sz w:val="16"/>
          <w:szCs w:val="20"/>
        </w:rPr>
        <w:t>a</w:t>
      </w:r>
      <w:r w:rsidR="008D4BC7" w:rsidRPr="008D4BC7">
        <w:rPr>
          <w:rFonts w:ascii="Times New Roman" w:hAnsi="Times New Roman" w:cstheme="minorBidi"/>
          <w:sz w:val="16"/>
          <w:szCs w:val="20"/>
        </w:rPr>
        <w:t>v</w:t>
      </w:r>
      <w:r w:rsidR="008D4BC7" w:rsidRPr="008D4BC7">
        <w:rPr>
          <w:rFonts w:ascii="Times New Roman" w:hAnsi="Times New Roman" w:cstheme="minorBidi"/>
          <w:sz w:val="16"/>
          <w:szCs w:val="20"/>
        </w:rPr>
        <w:t>/</w:t>
      </w:r>
      <w:r w:rsidR="008D4BC7" w:rsidRPr="008D4BC7">
        <w:rPr>
          <w:rFonts w:ascii="Times New Roman" w:hAnsi="Times New Roman" w:cstheme="minorBidi"/>
          <w:sz w:val="16"/>
          <w:szCs w:val="20"/>
        </w:rPr>
        <w:t>xid-7</w:t>
      </w:r>
      <w:r w:rsidR="008D4BC7" w:rsidRPr="008D4BC7">
        <w:rPr>
          <w:rFonts w:ascii="Times New Roman" w:hAnsi="Times New Roman" w:cstheme="minorBidi"/>
          <w:sz w:val="16"/>
          <w:szCs w:val="20"/>
        </w:rPr>
        <w:t>6</w:t>
      </w:r>
      <w:r w:rsidR="008D4BC7" w:rsidRPr="008D4BC7">
        <w:rPr>
          <w:rFonts w:ascii="Times New Roman" w:hAnsi="Times New Roman" w:cstheme="minorBidi"/>
          <w:sz w:val="16"/>
          <w:szCs w:val="20"/>
        </w:rPr>
        <w:t>9846_4</w:t>
      </w:r>
      <w:r w:rsidR="008D4BC7" w:rsidRPr="008D4BC7">
        <w:rPr>
          <w:rFonts w:ascii="Times New Roman" w:eastAsiaTheme="minorHAnsi" w:hAnsi="Times New Roman" w:cstheme="minorBidi"/>
          <w:sz w:val="16"/>
          <w:shd w:val="clear" w:color="auto" w:fill="FFFFFF"/>
        </w:rPr>
        <w:t xml:space="preserve">&gt; and </w:t>
      </w:r>
      <w:r w:rsidR="008D4BC7" w:rsidRPr="008D4BC7">
        <w:rPr>
          <w:rFonts w:ascii="Times New Roman" w:hAnsi="Times New Roman" w:cs="Arial"/>
          <w:sz w:val="16"/>
          <w:szCs w:val="28"/>
        </w:rPr>
        <w:t xml:space="preserve">Lau, Ellen N. </w:t>
      </w:r>
      <w:r w:rsidR="008D4BC7" w:rsidRPr="008D4BC7">
        <w:rPr>
          <w:rFonts w:ascii="Times New Roman" w:hAnsi="Times New Roman" w:cs="Arial"/>
          <w:i/>
          <w:sz w:val="16"/>
          <w:szCs w:val="28"/>
        </w:rPr>
        <w:t>Reading Activities for Julia Alvarez.</w:t>
      </w:r>
      <w:proofErr w:type="gramEnd"/>
      <w:r w:rsidR="008D4BC7" w:rsidRPr="008D4BC7">
        <w:rPr>
          <w:rFonts w:ascii="Times New Roman" w:hAnsi="Times New Roman" w:cs="Arial"/>
          <w:i/>
          <w:sz w:val="16"/>
          <w:szCs w:val="28"/>
        </w:rPr>
        <w:t xml:space="preserve"> </w:t>
      </w:r>
      <w:r w:rsidR="008D4BC7" w:rsidRPr="008D4BC7">
        <w:rPr>
          <w:rFonts w:ascii="Times New Roman" w:hAnsi="Times New Roman" w:cs="Arial"/>
          <w:sz w:val="16"/>
          <w:szCs w:val="28"/>
        </w:rPr>
        <w:t xml:space="preserve">Chicago Public Schools, 20 August 2012. </w:t>
      </w:r>
      <w:r w:rsidR="008D4BC7">
        <w:rPr>
          <w:rFonts w:ascii="Times New Roman" w:hAnsi="Times New Roman" w:cs="Arial"/>
          <w:sz w:val="16"/>
          <w:szCs w:val="28"/>
        </w:rPr>
        <w:t xml:space="preserve">Web. 9 July 2013. </w:t>
      </w:r>
      <w:r w:rsidR="008D4BC7" w:rsidRPr="008D4BC7">
        <w:rPr>
          <w:rFonts w:ascii="Times New Roman" w:hAnsi="Times New Roman" w:cs="Arial"/>
          <w:sz w:val="16"/>
          <w:szCs w:val="28"/>
        </w:rPr>
        <w:t>&lt;</w:t>
      </w:r>
      <w:r w:rsidR="00FD7BB5" w:rsidRPr="008D4BC7">
        <w:rPr>
          <w:rFonts w:ascii="Times New Roman" w:hAnsi="Times New Roman" w:cs="Arial"/>
          <w:sz w:val="16"/>
          <w:szCs w:val="28"/>
        </w:rPr>
        <w:t>http://www.fengerhighschool.org</w:t>
      </w:r>
      <w:r w:rsidR="00FD7BB5" w:rsidRPr="008D4BC7">
        <w:rPr>
          <w:rFonts w:ascii="Times New Roman" w:hAnsi="Times New Roman" w:cs="Arial"/>
          <w:sz w:val="16"/>
          <w:szCs w:val="28"/>
        </w:rPr>
        <w:t>/</w:t>
      </w:r>
      <w:r w:rsidR="00FD7BB5" w:rsidRPr="008D4BC7">
        <w:rPr>
          <w:rFonts w:ascii="Times New Roman" w:hAnsi="Times New Roman" w:cs="Arial"/>
          <w:sz w:val="16"/>
          <w:szCs w:val="28"/>
        </w:rPr>
        <w:t>ourpages/auto/2012/8/22/</w:t>
      </w:r>
      <w:r w:rsidR="008D4BC7">
        <w:rPr>
          <w:rFonts w:ascii="Times New Roman" w:hAnsi="Times New Roman" w:cs="Arial"/>
          <w:sz w:val="16"/>
          <w:szCs w:val="28"/>
        </w:rPr>
        <w:t xml:space="preserve"> </w:t>
      </w:r>
      <w:r w:rsidR="00FD7BB5" w:rsidRPr="008D4BC7">
        <w:rPr>
          <w:rFonts w:ascii="Times New Roman" w:hAnsi="Times New Roman" w:cs="Arial"/>
          <w:sz w:val="16"/>
          <w:szCs w:val="28"/>
        </w:rPr>
        <w:t>50046996/1_2%20Reading%20Activities%20for%20Julia%20Alvarez.doc</w:t>
      </w:r>
      <w:r w:rsidR="008D4BC7" w:rsidRPr="008D4BC7">
        <w:rPr>
          <w:rFonts w:ascii="Times New Roman" w:hAnsi="Times New Roman" w:cs="Arial"/>
          <w:sz w:val="16"/>
          <w:szCs w:val="28"/>
        </w:rPr>
        <w:t>&gt;</w:t>
      </w:r>
    </w:p>
    <w:sectPr w:rsidR="00405F96" w:rsidRPr="008D4BC7" w:rsidSect="00405F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76F1A"/>
    <w:multiLevelType w:val="hybridMultilevel"/>
    <w:tmpl w:val="2896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5F96"/>
    <w:rsid w:val="00010B9A"/>
    <w:rsid w:val="00405F96"/>
    <w:rsid w:val="008D4BC7"/>
    <w:rsid w:val="00C638F8"/>
    <w:rsid w:val="00C929EA"/>
    <w:rsid w:val="00FD7BB5"/>
  </w:rsids>
  <m:mathPr>
    <m:mathFont m:val="Book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B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05F96"/>
    <w:rPr>
      <w:rFonts w:ascii="Calibri" w:eastAsia="Calibri" w:hAnsi="Calibri" w:cs="Times New Roman"/>
      <w:sz w:val="22"/>
      <w:szCs w:val="22"/>
    </w:rPr>
  </w:style>
  <w:style w:type="character" w:styleId="Hyperlink">
    <w:name w:val="Hyperlink"/>
    <w:basedOn w:val="DefaultParagraphFont"/>
    <w:uiPriority w:val="99"/>
    <w:semiHidden/>
    <w:unhideWhenUsed/>
    <w:rsid w:val="00405F96"/>
    <w:rPr>
      <w:color w:val="0000FF" w:themeColor="hyperlink"/>
      <w:u w:val="single"/>
    </w:rPr>
  </w:style>
  <w:style w:type="character" w:styleId="FollowedHyperlink">
    <w:name w:val="FollowedHyperlink"/>
    <w:basedOn w:val="DefaultParagraphFont"/>
    <w:uiPriority w:val="99"/>
    <w:semiHidden/>
    <w:unhideWhenUsed/>
    <w:rsid w:val="00FD7BB5"/>
    <w:rPr>
      <w:color w:val="800080" w:themeColor="followedHyperlink"/>
      <w:u w:val="single"/>
    </w:rPr>
  </w:style>
  <w:style w:type="table" w:styleId="TableGrid">
    <w:name w:val="Table Grid"/>
    <w:basedOn w:val="TableNormal"/>
    <w:rsid w:val="00FD7BB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FD7BB5"/>
    <w:rPr>
      <w:i/>
    </w:rPr>
  </w:style>
</w:styles>
</file>

<file path=word/webSettings.xml><?xml version="1.0" encoding="utf-8"?>
<w:webSettings xmlns:r="http://schemas.openxmlformats.org/officeDocument/2006/relationships" xmlns:w="http://schemas.openxmlformats.org/wordprocessingml/2006/main">
  <w:divs>
    <w:div w:id="136385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816</Words>
  <Characters>3836</Characters>
  <Application>Microsoft Macintosh Word</Application>
  <DocSecurity>0</DocSecurity>
  <Lines>225</Lines>
  <Paragraphs>75</Paragraphs>
  <ScaleCrop>false</ScaleCrop>
  <Company>HCPSS</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2013-07-03T13:11:00Z</dcterms:created>
  <dcterms:modified xsi:type="dcterms:W3CDTF">2013-07-09T12:29:00Z</dcterms:modified>
</cp:coreProperties>
</file>